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宋体"/>
          <w:b/>
          <w:bCs/>
          <w:sz w:val="28"/>
          <w:szCs w:val="28"/>
          <w:lang w:eastAsia="zh-CN"/>
        </w:rPr>
      </w:pPr>
      <w:r>
        <w:rPr>
          <w:rFonts w:hint="eastAsia" w:ascii="黑体" w:hAnsi="黑体" w:eastAsia="黑体" w:cs="宋体"/>
          <w:b/>
          <w:bCs/>
          <w:sz w:val="28"/>
          <w:szCs w:val="28"/>
        </w:rPr>
        <w:t>附件</w:t>
      </w:r>
      <w:r>
        <w:rPr>
          <w:rFonts w:hint="eastAsia" w:ascii="黑体" w:hAnsi="黑体" w:eastAsia="黑体" w:cs="宋体"/>
          <w:b/>
          <w:bCs/>
          <w:sz w:val="28"/>
          <w:szCs w:val="28"/>
          <w:lang w:val="en-US" w:eastAsia="zh-CN"/>
        </w:rPr>
        <w:t>1</w:t>
      </w:r>
    </w:p>
    <w:p>
      <w:pPr>
        <w:spacing w:line="600" w:lineRule="exact"/>
        <w:jc w:val="center"/>
        <w:textAlignment w:val="baseline"/>
        <w:rPr>
          <w:rFonts w:ascii="方正小标宋_GBK" w:eastAsia="方正小标宋_GBK"/>
          <w:sz w:val="44"/>
        </w:rPr>
      </w:pPr>
      <w:r>
        <w:rPr>
          <w:rFonts w:hint="eastAsia" w:ascii="方正小标宋_GBK" w:eastAsia="方正小标宋_GBK"/>
          <w:sz w:val="44"/>
        </w:rPr>
        <w:t>国网经济技术研究院有限公司</w:t>
      </w:r>
      <w:r>
        <w:rPr>
          <w:rFonts w:hint="eastAsia" w:ascii="方正小标宋_GBK" w:eastAsia="方正小标宋_GBK"/>
          <w:sz w:val="44"/>
          <w:lang w:val="en-US" w:eastAsia="zh-CN"/>
        </w:rPr>
        <w:t>2023</w:t>
      </w:r>
      <w:r>
        <w:rPr>
          <w:rFonts w:hint="eastAsia" w:ascii="方正小标宋_GBK" w:eastAsia="方正小标宋_GBK"/>
          <w:sz w:val="44"/>
        </w:rPr>
        <w:t>年社会招聘岗位及资格条件情况表</w:t>
      </w:r>
    </w:p>
    <w:tbl>
      <w:tblPr>
        <w:tblStyle w:val="5"/>
        <w:tblW w:w="13966" w:type="dxa"/>
        <w:jc w:val="center"/>
        <w:tblInd w:w="0" w:type="dxa"/>
        <w:tblLayout w:type="fixed"/>
        <w:tblCellMar>
          <w:top w:w="0" w:type="dxa"/>
          <w:left w:w="108" w:type="dxa"/>
          <w:bottom w:w="0" w:type="dxa"/>
          <w:right w:w="108" w:type="dxa"/>
        </w:tblCellMar>
      </w:tblPr>
      <w:tblGrid>
        <w:gridCol w:w="559"/>
        <w:gridCol w:w="1289"/>
        <w:gridCol w:w="1157"/>
        <w:gridCol w:w="500"/>
        <w:gridCol w:w="1068"/>
        <w:gridCol w:w="1439"/>
        <w:gridCol w:w="3802"/>
        <w:gridCol w:w="4152"/>
      </w:tblGrid>
      <w:tr>
        <w:tblPrEx>
          <w:tblLayout w:type="fixed"/>
          <w:tblCellMar>
            <w:top w:w="0" w:type="dxa"/>
            <w:left w:w="108" w:type="dxa"/>
            <w:bottom w:w="0" w:type="dxa"/>
            <w:right w:w="108" w:type="dxa"/>
          </w:tblCellMar>
        </w:tblPrEx>
        <w:trPr>
          <w:trHeight w:val="294" w:hRule="atLeast"/>
          <w:tblHeader/>
          <w:jc w:val="center"/>
        </w:trPr>
        <w:tc>
          <w:tcPr>
            <w:tcW w:w="5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序号</w:t>
            </w:r>
          </w:p>
        </w:tc>
        <w:tc>
          <w:tcPr>
            <w:tcW w:w="12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部门</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岗位</w:t>
            </w:r>
          </w:p>
          <w:p>
            <w:pPr>
              <w:autoSpaceDE w:val="0"/>
              <w:autoSpaceDN w:val="0"/>
              <w:jc w:val="center"/>
              <w:rPr>
                <w:rFonts w:ascii="仿宋_GB2312" w:hAnsi="方正仿宋_GBK" w:eastAsia="仿宋_GB2312"/>
                <w:b/>
              </w:rPr>
            </w:pPr>
            <w:r>
              <w:rPr>
                <w:rFonts w:hint="eastAsia" w:ascii="仿宋_GB2312" w:hAnsi="方正仿宋_GBK" w:eastAsia="仿宋_GB2312"/>
                <w:b/>
              </w:rPr>
              <w:t>名称</w:t>
            </w:r>
          </w:p>
        </w:tc>
        <w:tc>
          <w:tcPr>
            <w:tcW w:w="50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人数</w:t>
            </w:r>
          </w:p>
        </w:tc>
        <w:tc>
          <w:tcPr>
            <w:tcW w:w="106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学历要求</w:t>
            </w:r>
          </w:p>
        </w:tc>
        <w:tc>
          <w:tcPr>
            <w:tcW w:w="143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专业要求</w:t>
            </w:r>
          </w:p>
        </w:tc>
        <w:tc>
          <w:tcPr>
            <w:tcW w:w="380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岗位职责</w:t>
            </w:r>
          </w:p>
        </w:tc>
        <w:tc>
          <w:tcPr>
            <w:tcW w:w="415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任职资格要求</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1</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配网规划中心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新能源及分布式电源规划设计研究岗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hint="eastAsia" w:ascii="方正仿宋_GBK" w:hAnsi="方正仿宋_GBK" w:eastAsia="方正仿宋_GBK" w:cs="方正仿宋_GBK"/>
                <w:color w:val="000000"/>
                <w:kern w:val="0"/>
                <w:sz w:val="24"/>
                <w:lang w:val="en-US" w:eastAsia="zh-CN" w:bidi="ar"/>
              </w:rPr>
            </w:pPr>
            <w:r>
              <w:rPr>
                <w:rFonts w:hint="eastAsia" w:ascii="方正仿宋_GBK" w:hAnsi="方正仿宋_GBK" w:eastAsia="方正仿宋_GBK" w:cs="方正仿宋_GBK"/>
                <w:color w:val="000000"/>
                <w:kern w:val="0"/>
                <w:sz w:val="24"/>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电气工程、电力系统及其自</w:t>
            </w:r>
            <w:bookmarkStart w:id="0" w:name="_GoBack"/>
            <w:bookmarkEnd w:id="0"/>
            <w:r>
              <w:rPr>
                <w:rFonts w:hint="eastAsia" w:ascii="方正仿宋_GBK" w:hAnsi="方正仿宋_GBK" w:eastAsia="方正仿宋_GBK" w:cs="方正仿宋_GBK"/>
                <w:color w:val="000000"/>
                <w:kern w:val="0"/>
                <w:sz w:val="24"/>
                <w:lang w:bidi="ar"/>
              </w:rPr>
              <w:t>动化等相关专业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负责开展新能源及分布式电源规划设计及接入系统设计咨询等相关工作；负责开展新型电力系统系统源网荷有关前沿科学技术研究。</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40周岁及以下；3年及以上相关工作经验；有新能源与分布式电源规划设计和技术经济研究工作经历；熟悉相关电力系统计算分析工具软件；具有较强的沟通协调和文字表达能力。</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2</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配网规划中心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新型储能规划设计研究岗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hint="eastAsia" w:ascii="方正仿宋_GBK" w:hAnsi="方正仿宋_GBK" w:eastAsia="方正仿宋_GBK" w:cs="方正仿宋_GBK"/>
                <w:color w:val="000000"/>
                <w:kern w:val="0"/>
                <w:sz w:val="24"/>
                <w:lang w:val="en-US" w:eastAsia="zh-CN" w:bidi="ar"/>
              </w:rPr>
            </w:pPr>
            <w:r>
              <w:rPr>
                <w:rFonts w:hint="eastAsia" w:ascii="方正仿宋_GBK" w:hAnsi="方正仿宋_GBK" w:eastAsia="方正仿宋_GBK" w:cs="方正仿宋_GBK"/>
                <w:color w:val="000000"/>
                <w:kern w:val="0"/>
                <w:sz w:val="24"/>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电气工程、电力系统及其自动化等相关专业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负责开展新型储能规划设计咨询等相关工作；负责开展新型储能领域有关前沿科学技术研究。</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40周岁及以下；3年及以上相关工作经验；有新型储能领域规划设计工作经历；熟悉各类新型储能技术经济特点和计算方法；具有较强的沟通协调和文字表达能力。</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3</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自动化及控制设计研究中心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智能变电站二次设计与评审岗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电力系统及其自动化等相关专业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负责开展智能变电站、特高压工程、集控站系统等二次专业相关工作，包括科研攻关、牵头设计、标准编制、通用设计制定、工程评审等内容。</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40周岁及以下；3年及以上相关工作经验；熟悉集控站、变电站数字智能化及变电站三维数字化设计技术。在输变电工程通用设计、二次设计优化及评审方面经验丰富，具有较强的组织协调和文字表达能力。</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4</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自动化及控制设计研究中心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调度/配电自动化与保护控制研究岗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电力系统及其自动化等相关专业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负责开展调度自动化、配电自动化、继电保护及电力系统稳定控制等相关工作，包括科研、二次专项规划、设计方案优化等内容；负责适应新形态演变趋势的二次系统新型系统架构顶层设计研究。</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40周岁及以下；3年及以上相关工作经验；熟悉新型电力系统下控制保护与自动化系统原理及其应用技术，熟悉二次专项规划工作流程，具有较强的组织协调及文字表达能力。</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5</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val="en-US" w:eastAsia="zh-CN" w:bidi="ar"/>
              </w:rPr>
            </w:pPr>
            <w:r>
              <w:rPr>
                <w:rFonts w:hint="eastAsia" w:ascii="方正仿宋_GBK" w:hAnsi="方正仿宋_GBK" w:eastAsia="方正仿宋_GBK" w:cs="方正仿宋_GBK"/>
                <w:color w:val="000000"/>
                <w:kern w:val="0"/>
                <w:sz w:val="24"/>
                <w:lang w:val="en-US" w:eastAsia="zh-CN" w:bidi="ar"/>
              </w:rPr>
              <w:t>设计咨询中心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变电电气设计岗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电气工程、高电压与绝缘技术、电力电子等相关专业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负责电网变电电气设计技术咨询；负责变电电气技术相关科研；负责特高压和国家电网公司重点工程设计牵头工作等。</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40周岁及以下；5年及以上相关工作经验；对变电电气一次等专业知识有比较全面的掌握和了解，作为电气一次主设人承担过500kV及以上工程设计；对特高压工程变电电气相关专业有设计或牵头设计经验。</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6</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设计咨询中心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变电土建设计岗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结构工程、土木工程等相关专业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负责电网变电土建设计技术咨询；负责变电土建模块化设计、智能化建设等科研研究；负责重大工程变电土建设计牵头工作等。</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5年及以上相关工作经验；对变电土建总图、建筑、结构、水工、暖通等专业知识有比较全面的掌握和了解；对变电土建相关技术难点有科研经验及成果；对特高压工程变电土建相关专业有设计或牵头设计经验。</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7</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设计咨询中心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送电电气设计岗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电气工程、电力电子与电力传动等相关专业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负责输电线路设计技术咨询；负责输电线路设计应用和相关科研研究；负责特高压线路设计技术牵头。</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5年及以上相关工作经验；对输电线路路径选择、设计气象条件、导线选型、电磁环境、空气间隙、绝缘配合、杆塔规划、防雷接地等相关知识有比较全面的掌握和了解。有特高压线路主设人、设总经验者优先。</w:t>
            </w:r>
          </w:p>
        </w:tc>
      </w:tr>
      <w:tr>
        <w:tblPrEx>
          <w:tblLayout w:type="fixed"/>
          <w:tblCellMar>
            <w:top w:w="0" w:type="dxa"/>
            <w:left w:w="108" w:type="dxa"/>
            <w:bottom w:w="0" w:type="dxa"/>
            <w:right w:w="108" w:type="dxa"/>
          </w:tblCellMar>
        </w:tblPrEx>
        <w:trPr>
          <w:trHeight w:val="501"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8</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设计咨询中心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勘测环保设计岗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环境工程、环境科学、水土保持等相关专业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负责电网工程环保水保技术咨询；负责环保水保政策研究和相关科研工作；负责特高压工程环保水保技术牵头。</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40周岁及以下；5年及以上相关工作经验，对电网工程环境保护、水土保持相关知识有比较全面的掌握和了解，有特高压环水保方案编制、监测、验收项目负责人经验者优先。</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9</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设计咨询中心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水电技术设计岗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水利水电工程等相关专业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负责抽水蓄能工程项目前期、设计、施工等方面的技术咨询和相关科研工作。</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40周岁及以下；5年及以上相关工作经验；具有抽水蓄能电站项目预可研、可研报告编制、初步设计及施工图编制、工程总承包管理等方面经验者优先。</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10</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技术经济中心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工程技经岗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技术经济、电气工程类、工程管理等相关专业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输变电工程可研、初设、施工图技经评审和技术经济分析工作；负责特高压及直流工程全过程技经咨询工作；负责开展行业、国家电网公司技经标准研究和制修订工作；负责开展输变电工程设备材料价格预测与信息价发布工作；负责开展计价依据升级与造价管理前瞻性专题研究工作等。</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40周岁及以下；5年及以上输变电工程造价管理相关工作经历，参与多个输变电工程造价编制、技经管理或概预算编制工作；具有技经评审、结算审计、技经标准编制以及相关工作经历者优先。</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11</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技术经济中心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水电造价管理岗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工程管理、水利水电工程管理、技术经济等相关专业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负责抽水蓄能电站新建、生产技改、大修项目技术经济分析和评审工作；负责抽水蓄能电站重大检修及技改项目后评价工作；开展建设项目重大合同变更审查；负责抽水蓄能技经标准研究及科研工作等。</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40周岁及以下；3年及以上水电工程造价管理相关工作经验，参与多个水电站项目及抽水蓄能电站项目技经工作；具有水电编规、定额编制以及水电项目技经审查相关工作经历者优先。</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12</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工程数据中心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电网工程数字化基础能力建设与数据运营岗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电气工程、地理信息系统、计算机科学与技术等相关专业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负责面向电网工程三维大场景孪生空间的统一数据底座构建研究；负责电网工程统一三维数据底座全生命周期赋能方案及应用研究；负责电网工程数据资产运营能力建设与大数据挖掘；负责电网基建一张图建设。</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电网数字化技术研究及应用相关工作经验；对电网数据管理及应用、GIS地理信息技术、数字电网建设相关知识有比较全面的掌握和了解；具有电网数据平台建设经历者优先，具有电气工程及计算机科学交叉学科背景者优先。</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13</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工程数据中心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电网数字化规划与评审岗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计算机科学与技术、软件工程、通信工程等相关专业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负责电网数字化规划修编、执行情况跟踪分析；负责电网数字化项目可行性研究报告、概要设计技术方案评审；负责数字化效益评价、软件成本度量研究。</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数字化规划研究、系统设计相关工作经验；对数字化转型、数字化总体架构、数字化项目建设全环节等相关知识有比较全面的掌握和了解；具有电网数字化顶层设计、项目可研论证、系统架构设计经历者优先。</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14</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管理评价中心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资产管理数据分析及咨询评价岗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电气工程或技术经济等相关专业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国家电网公司资产全寿命周期管理数字化转型支撑；资产数据监测分析；资产管理决策咨询、投资投入分析评估；资产管理数字化应用研究；资产管理数字化转型评价；电网设备资产数据统计分析；设备管理相关理论、技术和标准研究等。</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40周岁及以下；3年及以上资产管理、设备管理、数字化管理等相关工作经验；对资产管理、新型电力系统、数字化转型等相关知识有比较全面的掌握和了解。</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15</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设备监造中心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hint="eastAsia" w:ascii="方正仿宋_GBK" w:hAnsi="方正仿宋_GBK" w:eastAsia="方正仿宋_GBK" w:cs="方正仿宋_GBK"/>
                <w:color w:val="000000"/>
                <w:kern w:val="0"/>
                <w:sz w:val="24"/>
                <w:u w:val="none"/>
                <w:lang w:bidi="ar"/>
              </w:rPr>
            </w:pPr>
            <w:r>
              <w:rPr>
                <w:rFonts w:hint="eastAsia" w:ascii="方正仿宋_GBK" w:hAnsi="方正仿宋_GBK" w:eastAsia="方正仿宋_GBK" w:cs="方正仿宋_GBK"/>
                <w:i w:val="0"/>
                <w:color w:val="000000"/>
                <w:kern w:val="0"/>
                <w:sz w:val="24"/>
                <w:szCs w:val="24"/>
                <w:u w:val="none"/>
                <w:lang w:val="en-US" w:eastAsia="zh-CN" w:bidi="ar"/>
              </w:rPr>
              <w:t>设备技术咨询岗</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hint="eastAsia" w:ascii="方正仿宋_GBK" w:hAnsi="方正仿宋_GBK" w:eastAsia="方正仿宋_GBK" w:cs="方正仿宋_GBK"/>
                <w:color w:val="000000"/>
                <w:kern w:val="0"/>
                <w:sz w:val="24"/>
                <w:u w:val="none"/>
                <w:lang w:bidi="ar"/>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hint="eastAsia" w:ascii="方正仿宋_GBK" w:hAnsi="方正仿宋_GBK" w:eastAsia="方正仿宋_GBK" w:cs="方正仿宋_GBK"/>
                <w:color w:val="000000"/>
                <w:kern w:val="0"/>
                <w:sz w:val="24"/>
                <w:u w:val="none"/>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hint="eastAsia" w:ascii="方正仿宋_GBK" w:hAnsi="方正仿宋_GBK" w:eastAsia="方正仿宋_GBK" w:cs="方正仿宋_GBK"/>
                <w:color w:val="000000"/>
                <w:kern w:val="0"/>
                <w:sz w:val="24"/>
                <w:u w:val="none"/>
                <w:lang w:bidi="ar"/>
              </w:rPr>
            </w:pPr>
            <w:r>
              <w:rPr>
                <w:rFonts w:hint="eastAsia" w:ascii="方正仿宋_GBK" w:hAnsi="方正仿宋_GBK" w:eastAsia="方正仿宋_GBK" w:cs="方正仿宋_GBK"/>
                <w:i w:val="0"/>
                <w:color w:val="000000"/>
                <w:kern w:val="0"/>
                <w:sz w:val="24"/>
                <w:szCs w:val="24"/>
                <w:u w:val="none"/>
                <w:lang w:val="en-US" w:eastAsia="zh-CN" w:bidi="ar"/>
              </w:rPr>
              <w:t>高电压与绝缘、电力电子与电力传动、电力系统及其自动化、电工理论与新技术等相关专业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hint="eastAsia" w:ascii="方正仿宋_GBK" w:hAnsi="方正仿宋_GBK" w:eastAsia="方正仿宋_GBK" w:cs="方正仿宋_GBK"/>
                <w:color w:val="000000"/>
                <w:kern w:val="0"/>
                <w:sz w:val="24"/>
                <w:u w:val="none"/>
                <w:lang w:bidi="ar"/>
              </w:rPr>
            </w:pPr>
            <w:r>
              <w:rPr>
                <w:rFonts w:hint="eastAsia" w:ascii="方正仿宋_GBK" w:hAnsi="方正仿宋_GBK" w:eastAsia="方正仿宋_GBK" w:cs="方正仿宋_GBK"/>
                <w:i w:val="0"/>
                <w:color w:val="000000"/>
                <w:kern w:val="0"/>
                <w:sz w:val="24"/>
                <w:szCs w:val="24"/>
                <w:u w:val="none"/>
                <w:lang w:val="en-US" w:eastAsia="zh-CN" w:bidi="ar"/>
              </w:rPr>
              <w:t>负责适用于新型电力系统的新装备新技术研究；负责应用于新能源及储能的新型设备技术咨询研究；负责特高压交直流主设备、电力电子设备等输变电设备的质量管控。</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hint="eastAsia" w:ascii="方正仿宋_GBK" w:hAnsi="方正仿宋_GBK" w:eastAsia="方正仿宋_GBK" w:cs="方正仿宋_GBK"/>
                <w:color w:val="000000"/>
                <w:kern w:val="0"/>
                <w:sz w:val="24"/>
                <w:u w:val="none"/>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40周岁及以下；3年及以上相关工作经验；对电力主设备、电力电子设备、新能源设备等输变电装备的技术特点、质量管控要点以及故障分析等相关知识有比较全面的掌握和了解。</w:t>
            </w:r>
          </w:p>
        </w:tc>
      </w:tr>
    </w:tbl>
    <w:p>
      <w:pPr>
        <w:spacing w:line="600" w:lineRule="exact"/>
        <w:jc w:val="left"/>
        <w:textAlignment w:val="baseline"/>
        <w:rPr>
          <w:rFonts w:ascii="方正仿宋_GBK" w:hAnsi="方正仿宋_GBK" w:eastAsia="方正仿宋_GBK" w:cs="方正仿宋_GBK"/>
          <w:sz w:val="24"/>
        </w:rPr>
      </w:pPr>
    </w:p>
    <w:sectPr>
      <w:pgSz w:w="16838" w:h="11906" w:orient="landscape"/>
      <w:pgMar w:top="1800"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CF"/>
    <w:rsid w:val="000E2ECF"/>
    <w:rsid w:val="0019047B"/>
    <w:rsid w:val="002921AE"/>
    <w:rsid w:val="0048530D"/>
    <w:rsid w:val="00602FB9"/>
    <w:rsid w:val="00736E5A"/>
    <w:rsid w:val="00901426"/>
    <w:rsid w:val="009A3F14"/>
    <w:rsid w:val="00A07597"/>
    <w:rsid w:val="00B52601"/>
    <w:rsid w:val="00C35B16"/>
    <w:rsid w:val="00C36168"/>
    <w:rsid w:val="00EC3018"/>
    <w:rsid w:val="00F00E93"/>
    <w:rsid w:val="00F439AB"/>
    <w:rsid w:val="014D4712"/>
    <w:rsid w:val="01CC1EC5"/>
    <w:rsid w:val="0209368C"/>
    <w:rsid w:val="026F3CD7"/>
    <w:rsid w:val="036B6291"/>
    <w:rsid w:val="03990B1D"/>
    <w:rsid w:val="03B46F03"/>
    <w:rsid w:val="03E165B4"/>
    <w:rsid w:val="04474E90"/>
    <w:rsid w:val="047D3F19"/>
    <w:rsid w:val="04ED28E3"/>
    <w:rsid w:val="05044BCF"/>
    <w:rsid w:val="051E2F93"/>
    <w:rsid w:val="0581585A"/>
    <w:rsid w:val="05940E87"/>
    <w:rsid w:val="05A64BBB"/>
    <w:rsid w:val="065D6F07"/>
    <w:rsid w:val="06655F35"/>
    <w:rsid w:val="06874E6D"/>
    <w:rsid w:val="06C963A2"/>
    <w:rsid w:val="06F910CD"/>
    <w:rsid w:val="072D0704"/>
    <w:rsid w:val="073873AF"/>
    <w:rsid w:val="077F0A01"/>
    <w:rsid w:val="081C6BA8"/>
    <w:rsid w:val="08CD7526"/>
    <w:rsid w:val="092631D8"/>
    <w:rsid w:val="09BC2A1F"/>
    <w:rsid w:val="09D44B25"/>
    <w:rsid w:val="09E22590"/>
    <w:rsid w:val="0A5F2AAE"/>
    <w:rsid w:val="0A8B6EB9"/>
    <w:rsid w:val="0BE67A4B"/>
    <w:rsid w:val="0CDE4330"/>
    <w:rsid w:val="0CFD10F6"/>
    <w:rsid w:val="0E6E6554"/>
    <w:rsid w:val="0EE73260"/>
    <w:rsid w:val="0F7C1E0F"/>
    <w:rsid w:val="0FB6159E"/>
    <w:rsid w:val="10470F7E"/>
    <w:rsid w:val="11383DED"/>
    <w:rsid w:val="1138445F"/>
    <w:rsid w:val="11764FA0"/>
    <w:rsid w:val="11B3153B"/>
    <w:rsid w:val="121361C9"/>
    <w:rsid w:val="12DC4972"/>
    <w:rsid w:val="13C82E32"/>
    <w:rsid w:val="1400763E"/>
    <w:rsid w:val="145A681D"/>
    <w:rsid w:val="14E0659E"/>
    <w:rsid w:val="150129D7"/>
    <w:rsid w:val="15481397"/>
    <w:rsid w:val="15505AEE"/>
    <w:rsid w:val="15886EB6"/>
    <w:rsid w:val="159F5144"/>
    <w:rsid w:val="15A31CEB"/>
    <w:rsid w:val="15B638A7"/>
    <w:rsid w:val="15E930AD"/>
    <w:rsid w:val="16871FDB"/>
    <w:rsid w:val="17606378"/>
    <w:rsid w:val="18231034"/>
    <w:rsid w:val="183C15BE"/>
    <w:rsid w:val="18895E3B"/>
    <w:rsid w:val="18C718B1"/>
    <w:rsid w:val="18EC0617"/>
    <w:rsid w:val="19930B33"/>
    <w:rsid w:val="1AA618D5"/>
    <w:rsid w:val="1B4D63B5"/>
    <w:rsid w:val="1B7333C7"/>
    <w:rsid w:val="1C3D20A4"/>
    <w:rsid w:val="1C9A66CF"/>
    <w:rsid w:val="1CF2487E"/>
    <w:rsid w:val="1D007409"/>
    <w:rsid w:val="1D030ADC"/>
    <w:rsid w:val="1D090891"/>
    <w:rsid w:val="1D187829"/>
    <w:rsid w:val="1D6C36C1"/>
    <w:rsid w:val="1DFF7C0D"/>
    <w:rsid w:val="1E102562"/>
    <w:rsid w:val="1E1458CA"/>
    <w:rsid w:val="1E284839"/>
    <w:rsid w:val="1E2C7FEE"/>
    <w:rsid w:val="1E85040A"/>
    <w:rsid w:val="1F07133C"/>
    <w:rsid w:val="1F412236"/>
    <w:rsid w:val="1FFE0DA3"/>
    <w:rsid w:val="206200D4"/>
    <w:rsid w:val="20862C0F"/>
    <w:rsid w:val="21691C4C"/>
    <w:rsid w:val="229542ED"/>
    <w:rsid w:val="232E2981"/>
    <w:rsid w:val="23363F87"/>
    <w:rsid w:val="239907B7"/>
    <w:rsid w:val="23D81C78"/>
    <w:rsid w:val="23E7761E"/>
    <w:rsid w:val="240B5D51"/>
    <w:rsid w:val="249408C4"/>
    <w:rsid w:val="24A90831"/>
    <w:rsid w:val="250C7B1B"/>
    <w:rsid w:val="250D7E34"/>
    <w:rsid w:val="252B6A42"/>
    <w:rsid w:val="25567A11"/>
    <w:rsid w:val="26393CAC"/>
    <w:rsid w:val="26746DA9"/>
    <w:rsid w:val="26A3139E"/>
    <w:rsid w:val="26C9348A"/>
    <w:rsid w:val="26DA6545"/>
    <w:rsid w:val="26EB3776"/>
    <w:rsid w:val="26FA30E4"/>
    <w:rsid w:val="28442D66"/>
    <w:rsid w:val="28B621C6"/>
    <w:rsid w:val="293824E4"/>
    <w:rsid w:val="29442326"/>
    <w:rsid w:val="29C52DB1"/>
    <w:rsid w:val="29FF4ECE"/>
    <w:rsid w:val="2A240C10"/>
    <w:rsid w:val="2A455DE7"/>
    <w:rsid w:val="2AEB6DD1"/>
    <w:rsid w:val="2C64615C"/>
    <w:rsid w:val="2E051775"/>
    <w:rsid w:val="2E816AC1"/>
    <w:rsid w:val="2EE02546"/>
    <w:rsid w:val="2F0206C3"/>
    <w:rsid w:val="2F3E31AA"/>
    <w:rsid w:val="2F62619A"/>
    <w:rsid w:val="2F855708"/>
    <w:rsid w:val="2FAF31AE"/>
    <w:rsid w:val="300745BA"/>
    <w:rsid w:val="30636049"/>
    <w:rsid w:val="310A4D14"/>
    <w:rsid w:val="31AD20B9"/>
    <w:rsid w:val="32102903"/>
    <w:rsid w:val="32D669B6"/>
    <w:rsid w:val="330C5C99"/>
    <w:rsid w:val="34C40569"/>
    <w:rsid w:val="359A0F4C"/>
    <w:rsid w:val="359D0765"/>
    <w:rsid w:val="36196604"/>
    <w:rsid w:val="3637076B"/>
    <w:rsid w:val="367A6DB9"/>
    <w:rsid w:val="36A55DA1"/>
    <w:rsid w:val="37116AF9"/>
    <w:rsid w:val="37152755"/>
    <w:rsid w:val="386F7906"/>
    <w:rsid w:val="38DC76FE"/>
    <w:rsid w:val="39AB3713"/>
    <w:rsid w:val="3A0F4E92"/>
    <w:rsid w:val="3A88238E"/>
    <w:rsid w:val="3C7A72CB"/>
    <w:rsid w:val="3CFF1398"/>
    <w:rsid w:val="3D661847"/>
    <w:rsid w:val="3DCE12FD"/>
    <w:rsid w:val="3DFD1080"/>
    <w:rsid w:val="3E017F9B"/>
    <w:rsid w:val="3F595490"/>
    <w:rsid w:val="406A55E9"/>
    <w:rsid w:val="409426DF"/>
    <w:rsid w:val="40BA4150"/>
    <w:rsid w:val="40F3277C"/>
    <w:rsid w:val="41140ED9"/>
    <w:rsid w:val="411A1514"/>
    <w:rsid w:val="4122511B"/>
    <w:rsid w:val="414003DE"/>
    <w:rsid w:val="419227AA"/>
    <w:rsid w:val="41FE24E4"/>
    <w:rsid w:val="42AF1224"/>
    <w:rsid w:val="42E56741"/>
    <w:rsid w:val="432D3F8B"/>
    <w:rsid w:val="4344247A"/>
    <w:rsid w:val="438F6E9F"/>
    <w:rsid w:val="439044DA"/>
    <w:rsid w:val="43B537C4"/>
    <w:rsid w:val="43EB4397"/>
    <w:rsid w:val="43F07016"/>
    <w:rsid w:val="43FD37FD"/>
    <w:rsid w:val="44332EB9"/>
    <w:rsid w:val="446D74FE"/>
    <w:rsid w:val="44947F89"/>
    <w:rsid w:val="452A3C6D"/>
    <w:rsid w:val="453B56EC"/>
    <w:rsid w:val="45FD5F44"/>
    <w:rsid w:val="463772A0"/>
    <w:rsid w:val="46E3576F"/>
    <w:rsid w:val="482F15AC"/>
    <w:rsid w:val="483422FC"/>
    <w:rsid w:val="48511C2A"/>
    <w:rsid w:val="48C13A03"/>
    <w:rsid w:val="49CD1492"/>
    <w:rsid w:val="4A03774D"/>
    <w:rsid w:val="4A2713EE"/>
    <w:rsid w:val="4AD35CEF"/>
    <w:rsid w:val="4AEE3EA2"/>
    <w:rsid w:val="4B9C5C1F"/>
    <w:rsid w:val="4C3D1A31"/>
    <w:rsid w:val="4C4F2E22"/>
    <w:rsid w:val="4CBC17B2"/>
    <w:rsid w:val="4D254E36"/>
    <w:rsid w:val="4DD37774"/>
    <w:rsid w:val="4E077D0D"/>
    <w:rsid w:val="4E8224BE"/>
    <w:rsid w:val="4EAA75D1"/>
    <w:rsid w:val="4ECE3C1F"/>
    <w:rsid w:val="4F644C33"/>
    <w:rsid w:val="508B1216"/>
    <w:rsid w:val="50A827EE"/>
    <w:rsid w:val="50AA433C"/>
    <w:rsid w:val="515C791C"/>
    <w:rsid w:val="51623667"/>
    <w:rsid w:val="51961655"/>
    <w:rsid w:val="51F11765"/>
    <w:rsid w:val="52A038B8"/>
    <w:rsid w:val="52BD0D8F"/>
    <w:rsid w:val="537501A6"/>
    <w:rsid w:val="548A62D2"/>
    <w:rsid w:val="54CF5FEA"/>
    <w:rsid w:val="54E363A9"/>
    <w:rsid w:val="54F40563"/>
    <w:rsid w:val="555A5F96"/>
    <w:rsid w:val="55614A05"/>
    <w:rsid w:val="55D10D55"/>
    <w:rsid w:val="56564BA8"/>
    <w:rsid w:val="56A3720D"/>
    <w:rsid w:val="56A75BA9"/>
    <w:rsid w:val="57F01092"/>
    <w:rsid w:val="58D65F45"/>
    <w:rsid w:val="596E76CE"/>
    <w:rsid w:val="5AE5325D"/>
    <w:rsid w:val="5BB75E94"/>
    <w:rsid w:val="5BDC6E04"/>
    <w:rsid w:val="5BDD2E63"/>
    <w:rsid w:val="5D017031"/>
    <w:rsid w:val="5D371509"/>
    <w:rsid w:val="5D3E7780"/>
    <w:rsid w:val="5D86638E"/>
    <w:rsid w:val="5DB07422"/>
    <w:rsid w:val="5DB21AEF"/>
    <w:rsid w:val="5E132EB1"/>
    <w:rsid w:val="5E843DA3"/>
    <w:rsid w:val="5E890C86"/>
    <w:rsid w:val="5F5A3FDA"/>
    <w:rsid w:val="5FBD21E6"/>
    <w:rsid w:val="605B5220"/>
    <w:rsid w:val="6129462B"/>
    <w:rsid w:val="61DE209B"/>
    <w:rsid w:val="62B27431"/>
    <w:rsid w:val="63897D89"/>
    <w:rsid w:val="63AB31A6"/>
    <w:rsid w:val="63D6700B"/>
    <w:rsid w:val="646B4E31"/>
    <w:rsid w:val="652B1A76"/>
    <w:rsid w:val="66D04EDA"/>
    <w:rsid w:val="675212CE"/>
    <w:rsid w:val="67B453FF"/>
    <w:rsid w:val="67CE7ED7"/>
    <w:rsid w:val="686F1CA0"/>
    <w:rsid w:val="68C67051"/>
    <w:rsid w:val="68C76246"/>
    <w:rsid w:val="68FB63F8"/>
    <w:rsid w:val="69AB2E23"/>
    <w:rsid w:val="69D754F6"/>
    <w:rsid w:val="6A4B3368"/>
    <w:rsid w:val="6A5D050F"/>
    <w:rsid w:val="6ACA39E0"/>
    <w:rsid w:val="6B6B7000"/>
    <w:rsid w:val="6BB3681E"/>
    <w:rsid w:val="6BB70DAF"/>
    <w:rsid w:val="6BC46959"/>
    <w:rsid w:val="6C645EC9"/>
    <w:rsid w:val="6C7D6D57"/>
    <w:rsid w:val="6CCB193A"/>
    <w:rsid w:val="6D2E181F"/>
    <w:rsid w:val="6D5D54A8"/>
    <w:rsid w:val="6D8B13D3"/>
    <w:rsid w:val="6DB24106"/>
    <w:rsid w:val="6DBB3951"/>
    <w:rsid w:val="6DF079BE"/>
    <w:rsid w:val="6E28277C"/>
    <w:rsid w:val="6E3162B8"/>
    <w:rsid w:val="6F955F76"/>
    <w:rsid w:val="71150673"/>
    <w:rsid w:val="71543B6D"/>
    <w:rsid w:val="72003A0A"/>
    <w:rsid w:val="733726F8"/>
    <w:rsid w:val="74263607"/>
    <w:rsid w:val="74DC6A64"/>
    <w:rsid w:val="74FE7F26"/>
    <w:rsid w:val="75152861"/>
    <w:rsid w:val="75AD567C"/>
    <w:rsid w:val="784326F3"/>
    <w:rsid w:val="787F1479"/>
    <w:rsid w:val="792C11F5"/>
    <w:rsid w:val="79B14B8F"/>
    <w:rsid w:val="79CB31FE"/>
    <w:rsid w:val="79E3773F"/>
    <w:rsid w:val="79F33184"/>
    <w:rsid w:val="7B252597"/>
    <w:rsid w:val="7B502854"/>
    <w:rsid w:val="7BB3772B"/>
    <w:rsid w:val="7C437A3F"/>
    <w:rsid w:val="7C5F6207"/>
    <w:rsid w:val="7CAF3722"/>
    <w:rsid w:val="7CB25D75"/>
    <w:rsid w:val="7D007729"/>
    <w:rsid w:val="7D6F60E8"/>
    <w:rsid w:val="7D896DA6"/>
    <w:rsid w:val="7DB55168"/>
    <w:rsid w:val="7DB62217"/>
    <w:rsid w:val="7DC84D6A"/>
    <w:rsid w:val="7EBC0FC3"/>
    <w:rsid w:val="7EC47CF4"/>
    <w:rsid w:val="7EEA2FED"/>
    <w:rsid w:val="7F964C4A"/>
    <w:rsid w:val="7FD32A27"/>
    <w:rsid w:val="7FD670AD"/>
    <w:rsid w:val="7FEE1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qFormat/>
    <w:uiPriority w:val="0"/>
    <w:rPr>
      <w:kern w:val="2"/>
      <w:sz w:val="18"/>
      <w:szCs w:val="18"/>
    </w:rPr>
  </w:style>
  <w:style w:type="character" w:customStyle="1" w:styleId="8">
    <w:name w:val="font11"/>
    <w:basedOn w:val="6"/>
    <w:qFormat/>
    <w:uiPriority w:val="0"/>
    <w:rPr>
      <w:rFonts w:hint="eastAsia" w:ascii="仿宋_GB2312" w:eastAsia="仿宋_GB2312" w:cs="仿宋_GB2312"/>
      <w:color w:val="000000"/>
      <w:sz w:val="28"/>
      <w:szCs w:val="28"/>
      <w:u w:val="none"/>
    </w:rPr>
  </w:style>
  <w:style w:type="character" w:customStyle="1" w:styleId="9">
    <w:name w:val="font41"/>
    <w:basedOn w:val="6"/>
    <w:qFormat/>
    <w:uiPriority w:val="0"/>
    <w:rPr>
      <w:rFonts w:hint="eastAsia" w:ascii="仿宋_GB2312" w:eastAsia="仿宋_GB2312" w:cs="仿宋_GB2312"/>
      <w:color w:val="000000"/>
      <w:sz w:val="28"/>
      <w:szCs w:val="28"/>
      <w:u w:val="none"/>
    </w:rPr>
  </w:style>
  <w:style w:type="character" w:customStyle="1" w:styleId="10">
    <w:name w:val="font21"/>
    <w:basedOn w:val="6"/>
    <w:qFormat/>
    <w:uiPriority w:val="0"/>
    <w:rPr>
      <w:rFonts w:hint="eastAsia" w:ascii="仿宋_GB2312" w:eastAsia="仿宋_GB2312" w:cs="仿宋_GB2312"/>
      <w:color w:val="000000"/>
      <w:sz w:val="26"/>
      <w:szCs w:val="26"/>
      <w:u w:val="none"/>
    </w:rPr>
  </w:style>
  <w:style w:type="character" w:customStyle="1" w:styleId="11">
    <w:name w:val="font81"/>
    <w:basedOn w:val="6"/>
    <w:qFormat/>
    <w:uiPriority w:val="0"/>
    <w:rPr>
      <w:rFonts w:hint="eastAsia" w:ascii="仿宋_GB2312" w:eastAsia="仿宋_GB2312" w:cs="仿宋_GB2312"/>
      <w:color w:val="000000"/>
      <w:sz w:val="26"/>
      <w:szCs w:val="26"/>
      <w:u w:val="none"/>
    </w:rPr>
  </w:style>
  <w:style w:type="character" w:customStyle="1" w:styleId="12">
    <w:name w:val="font51"/>
    <w:basedOn w:val="6"/>
    <w:qFormat/>
    <w:uiPriority w:val="0"/>
    <w:rPr>
      <w:rFonts w:hint="eastAsia" w:ascii="仿宋_GB2312" w:eastAsia="仿宋_GB2312" w:cs="仿宋_GB2312"/>
      <w:i/>
      <w:color w:val="000000"/>
      <w:sz w:val="28"/>
      <w:szCs w:val="28"/>
      <w:u w:val="none"/>
    </w:rPr>
  </w:style>
  <w:style w:type="character" w:customStyle="1" w:styleId="13">
    <w:name w:val="font61"/>
    <w:basedOn w:val="6"/>
    <w:qFormat/>
    <w:uiPriority w:val="0"/>
    <w:rPr>
      <w:rFonts w:hint="eastAsia" w:ascii="仿宋_GB2312" w:eastAsia="仿宋_GB2312" w:cs="仿宋_GB2312"/>
      <w:color w:val="000000"/>
      <w:sz w:val="28"/>
      <w:szCs w:val="28"/>
      <w:u w:val="none"/>
    </w:rPr>
  </w:style>
  <w:style w:type="character" w:customStyle="1" w:styleId="14">
    <w:name w:val="font71"/>
    <w:basedOn w:val="6"/>
    <w:qFormat/>
    <w:uiPriority w:val="0"/>
    <w:rPr>
      <w:rFonts w:hint="eastAsia" w:ascii="仿宋_GB2312" w:eastAsia="仿宋_GB2312" w:cs="仿宋_GB2312"/>
      <w:color w:val="000000"/>
      <w:sz w:val="26"/>
      <w:szCs w:val="26"/>
      <w:u w:val="none"/>
    </w:rPr>
  </w:style>
  <w:style w:type="character" w:customStyle="1" w:styleId="15">
    <w:name w:val="页眉 字符"/>
    <w:basedOn w:val="6"/>
    <w:link w:val="4"/>
    <w:qFormat/>
    <w:uiPriority w:val="0"/>
    <w:rPr>
      <w:kern w:val="2"/>
      <w:sz w:val="18"/>
      <w:szCs w:val="18"/>
    </w:rPr>
  </w:style>
  <w:style w:type="character" w:customStyle="1" w:styleId="16">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470</Words>
  <Characters>2684</Characters>
  <Lines>22</Lines>
  <Paragraphs>6</Paragraphs>
  <TotalTime>4</TotalTime>
  <ScaleCrop>false</ScaleCrop>
  <LinksUpToDate>false</LinksUpToDate>
  <CharactersWithSpaces>3148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2020-11-27T09:40:00Z</dcterms:created>
  <dc:creator>ThinkPad</dc:creator>
  <cp:lastModifiedBy>王伟波</cp:lastModifiedBy>
  <cp:lastPrinted>2021-05-18T07:11:00Z</cp:lastPrinted>
  <dcterms:modified xsi:type="dcterms:W3CDTF">2023-07-10T08:49:55Z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