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3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default" w:ascii="仿宋_GB2312" w:hAnsi="仿宋_GB2312" w:eastAsia="仿宋_GB2312" w:cs="仿宋_GB2312"/>
          <w:b/>
          <w:bCs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流行病学史筛查和症状监测表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姓名：</w:t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</w:rPr>
        <w:t>性别：</w:t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工作单位：</w:t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居住地：</w:t>
      </w:r>
    </w:p>
    <w:tbl>
      <w:tblPr>
        <w:tblStyle w:val="4"/>
        <w:tblW w:w="9223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50"/>
        <w:gridCol w:w="945"/>
        <w:gridCol w:w="868"/>
        <w:gridCol w:w="66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  <w:jc w:val="center"/>
        </w:trPr>
        <w:tc>
          <w:tcPr>
            <w:tcW w:w="675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leftChars="0" w:right="26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筛查内容</w:t>
            </w:r>
          </w:p>
        </w:tc>
        <w:tc>
          <w:tcPr>
            <w:tcW w:w="9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position w:val="1"/>
                <w:sz w:val="28"/>
                <w:szCs w:val="28"/>
              </w:rPr>
              <w:t>有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/</w:t>
            </w:r>
            <w:r>
              <w:rPr>
                <w:rFonts w:hint="eastAsia" w:ascii="仿宋_GB2312" w:hAnsi="仿宋_GB2312" w:eastAsia="仿宋_GB2312" w:cs="仿宋_GB2312"/>
                <w:b/>
                <w:bCs/>
                <w:position w:val="1"/>
                <w:sz w:val="28"/>
                <w:szCs w:val="28"/>
              </w:rPr>
              <w:t>是</w:t>
            </w:r>
          </w:p>
        </w:tc>
        <w:tc>
          <w:tcPr>
            <w:tcW w:w="868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14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position w:val="1"/>
                <w:sz w:val="28"/>
                <w:szCs w:val="28"/>
              </w:rPr>
              <w:t>无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/</w:t>
            </w:r>
            <w:r>
              <w:rPr>
                <w:rFonts w:hint="eastAsia" w:ascii="仿宋_GB2312" w:hAnsi="仿宋_GB2312" w:eastAsia="仿宋_GB2312" w:cs="仿宋_GB2312"/>
                <w:b/>
                <w:bCs/>
                <w:position w:val="1"/>
                <w:sz w:val="28"/>
                <w:szCs w:val="28"/>
              </w:rPr>
              <w:t>否</w:t>
            </w:r>
          </w:p>
        </w:tc>
        <w:tc>
          <w:tcPr>
            <w:tcW w:w="66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3" w:hRule="atLeast"/>
          <w:jc w:val="center"/>
        </w:trPr>
        <w:tc>
          <w:tcPr>
            <w:tcW w:w="675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</w:t>
            </w:r>
            <w:r>
              <w:rPr>
                <w:rFonts w:hint="eastAsia" w:ascii="仿宋_GB2312" w:hAnsi="仿宋_GB2312" w:eastAsia="仿宋_GB2312" w:cs="仿宋_GB2312"/>
                <w:position w:val="1"/>
                <w:sz w:val="28"/>
                <w:szCs w:val="28"/>
                <w:lang w:val="en-US" w:eastAsia="zh-CN"/>
              </w:rPr>
              <w:t>试</w:t>
            </w:r>
            <w:r>
              <w:rPr>
                <w:rFonts w:hint="eastAsia" w:ascii="仿宋_GB2312" w:hAnsi="仿宋_GB2312" w:eastAsia="仿宋_GB2312" w:cs="仿宋_GB2312"/>
                <w:position w:val="1"/>
                <w:sz w:val="28"/>
                <w:szCs w:val="28"/>
              </w:rPr>
              <w:t>前1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</w:t>
            </w:r>
            <w:r>
              <w:rPr>
                <w:rFonts w:hint="eastAsia" w:ascii="仿宋_GB2312" w:hAnsi="仿宋_GB2312" w:eastAsia="仿宋_GB2312" w:cs="仿宋_GB2312"/>
                <w:position w:val="1"/>
                <w:sz w:val="28"/>
                <w:szCs w:val="28"/>
              </w:rPr>
              <w:t>天内有无境内中高风险地</w:t>
            </w:r>
            <w:r>
              <w:rPr>
                <w:rFonts w:hint="eastAsia" w:ascii="仿宋_GB2312" w:hAnsi="仿宋_GB2312" w:eastAsia="仿宋_GB2312" w:cs="仿宋_GB2312"/>
                <w:position w:val="1"/>
                <w:sz w:val="28"/>
                <w:szCs w:val="28"/>
                <w:lang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position w:val="1"/>
                <w:sz w:val="28"/>
                <w:szCs w:val="28"/>
              </w:rPr>
              <w:t>、港澳台地</w:t>
            </w:r>
            <w:r>
              <w:rPr>
                <w:rFonts w:hint="eastAsia" w:ascii="仿宋_GB2312" w:hAnsi="仿宋_GB2312" w:eastAsia="仿宋_GB2312" w:cs="仿宋_GB2312"/>
                <w:position w:val="1"/>
                <w:sz w:val="28"/>
                <w:szCs w:val="28"/>
                <w:lang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position w:val="1"/>
                <w:sz w:val="28"/>
                <w:szCs w:val="28"/>
              </w:rPr>
              <w:t>、国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外旅居史或居住史。</w:t>
            </w:r>
          </w:p>
        </w:tc>
        <w:tc>
          <w:tcPr>
            <w:tcW w:w="9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6"/>
              </w:rPr>
            </w:pPr>
          </w:p>
        </w:tc>
        <w:tc>
          <w:tcPr>
            <w:tcW w:w="868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6"/>
              </w:rPr>
            </w:pPr>
          </w:p>
        </w:tc>
        <w:tc>
          <w:tcPr>
            <w:tcW w:w="66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  <w:jc w:val="center"/>
        </w:trPr>
        <w:tc>
          <w:tcPr>
            <w:tcW w:w="675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11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w w:val="95"/>
                <w:sz w:val="28"/>
                <w:szCs w:val="28"/>
              </w:rPr>
              <w:t>2.</w:t>
            </w:r>
            <w:r>
              <w:rPr>
                <w:rFonts w:hint="eastAsia" w:ascii="仿宋_GB2312" w:hAnsi="仿宋_GB2312" w:eastAsia="仿宋_GB2312" w:cs="仿宋_GB2312"/>
                <w:w w:val="95"/>
                <w:position w:val="1"/>
                <w:sz w:val="28"/>
                <w:szCs w:val="28"/>
              </w:rPr>
              <w:t>有无新冠肺炎病毒感染者（确诊病例及无症状感染者）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的密切接触史。</w:t>
            </w:r>
          </w:p>
        </w:tc>
        <w:tc>
          <w:tcPr>
            <w:tcW w:w="9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6"/>
              </w:rPr>
            </w:pPr>
          </w:p>
        </w:tc>
        <w:tc>
          <w:tcPr>
            <w:tcW w:w="868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6"/>
              </w:rPr>
            </w:pPr>
          </w:p>
        </w:tc>
        <w:tc>
          <w:tcPr>
            <w:tcW w:w="66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  <w:jc w:val="center"/>
        </w:trPr>
        <w:tc>
          <w:tcPr>
            <w:tcW w:w="675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11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3.</w:t>
            </w:r>
            <w:r>
              <w:rPr>
                <w:rFonts w:hint="eastAsia" w:ascii="仿宋_GB2312" w:hAnsi="仿宋_GB2312" w:eastAsia="仿宋_GB2312" w:cs="仿宋_GB2312"/>
                <w:position w:val="1"/>
                <w:sz w:val="28"/>
                <w:szCs w:val="28"/>
              </w:rPr>
              <w:t>有无与新冠肺炎病毒感染者密切接触者的接触史。</w:t>
            </w:r>
          </w:p>
        </w:tc>
        <w:tc>
          <w:tcPr>
            <w:tcW w:w="9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6"/>
              </w:rPr>
            </w:pPr>
          </w:p>
        </w:tc>
        <w:tc>
          <w:tcPr>
            <w:tcW w:w="868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6"/>
              </w:rPr>
            </w:pPr>
          </w:p>
        </w:tc>
        <w:tc>
          <w:tcPr>
            <w:tcW w:w="66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  <w:jc w:val="center"/>
        </w:trPr>
        <w:tc>
          <w:tcPr>
            <w:tcW w:w="675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11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w w:val="95"/>
                <w:sz w:val="28"/>
                <w:szCs w:val="28"/>
              </w:rPr>
              <w:t>4.</w:t>
            </w:r>
            <w:r>
              <w:rPr>
                <w:rFonts w:hint="eastAsia" w:ascii="仿宋_GB2312" w:hAnsi="仿宋_GB2312" w:eastAsia="仿宋_GB2312" w:cs="仿宋_GB2312"/>
                <w:w w:val="95"/>
                <w:position w:val="1"/>
                <w:sz w:val="28"/>
                <w:szCs w:val="28"/>
              </w:rPr>
              <w:t>是否为已治愈出院的确诊病例，且尚在随访或医学观察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期内。</w:t>
            </w:r>
          </w:p>
        </w:tc>
        <w:tc>
          <w:tcPr>
            <w:tcW w:w="9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6"/>
              </w:rPr>
            </w:pPr>
          </w:p>
        </w:tc>
        <w:tc>
          <w:tcPr>
            <w:tcW w:w="868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6"/>
              </w:rPr>
            </w:pPr>
          </w:p>
        </w:tc>
        <w:tc>
          <w:tcPr>
            <w:tcW w:w="66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  <w:jc w:val="center"/>
        </w:trPr>
        <w:tc>
          <w:tcPr>
            <w:tcW w:w="675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11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w w:val="95"/>
                <w:sz w:val="28"/>
                <w:szCs w:val="28"/>
              </w:rPr>
              <w:t>5.</w:t>
            </w:r>
            <w:r>
              <w:rPr>
                <w:rFonts w:hint="eastAsia" w:ascii="仿宋_GB2312" w:hAnsi="仿宋_GB2312" w:eastAsia="仿宋_GB2312" w:cs="仿宋_GB2312"/>
                <w:w w:val="95"/>
                <w:position w:val="1"/>
                <w:sz w:val="28"/>
                <w:szCs w:val="28"/>
              </w:rPr>
              <w:t>是否为已解除集中隔离医学观察的无症状感染者，且尚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在随访或医学观察期内。</w:t>
            </w:r>
          </w:p>
        </w:tc>
        <w:tc>
          <w:tcPr>
            <w:tcW w:w="9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6"/>
              </w:rPr>
            </w:pPr>
          </w:p>
        </w:tc>
        <w:tc>
          <w:tcPr>
            <w:tcW w:w="868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6"/>
              </w:rPr>
            </w:pPr>
          </w:p>
        </w:tc>
        <w:tc>
          <w:tcPr>
            <w:tcW w:w="66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6" w:hRule="atLeast"/>
          <w:jc w:val="center"/>
        </w:trPr>
        <w:tc>
          <w:tcPr>
            <w:tcW w:w="675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11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w w:val="95"/>
                <w:sz w:val="28"/>
                <w:szCs w:val="28"/>
              </w:rPr>
              <w:t>6.</w:t>
            </w:r>
            <w:r>
              <w:rPr>
                <w:rFonts w:hint="eastAsia" w:ascii="仿宋_GB2312" w:hAnsi="仿宋_GB2312" w:eastAsia="仿宋_GB2312" w:cs="仿宋_GB2312"/>
                <w:spacing w:val="-3"/>
                <w:w w:val="95"/>
                <w:position w:val="1"/>
                <w:sz w:val="28"/>
                <w:szCs w:val="28"/>
              </w:rPr>
              <w:t xml:space="preserve">有无发热、寒战、咳嗽、咳痰、咽痛、打喷嚏、流涕、 </w:t>
            </w:r>
            <w:r>
              <w:rPr>
                <w:rFonts w:hint="eastAsia" w:ascii="仿宋_GB2312" w:hAnsi="仿宋_GB2312" w:eastAsia="仿宋_GB2312" w:cs="仿宋_GB2312"/>
                <w:spacing w:val="-8"/>
                <w:w w:val="95"/>
                <w:sz w:val="28"/>
                <w:szCs w:val="28"/>
              </w:rPr>
              <w:t xml:space="preserve">鼻塞、头痛、乏力、肌肉酸痛、关节酸痛、气促、呼吸困 </w:t>
            </w:r>
            <w:r>
              <w:rPr>
                <w:rFonts w:hint="eastAsia" w:ascii="仿宋_GB2312" w:hAnsi="仿宋_GB2312" w:eastAsia="仿宋_GB2312" w:cs="仿宋_GB2312"/>
                <w:spacing w:val="-3"/>
                <w:sz w:val="28"/>
                <w:szCs w:val="28"/>
              </w:rPr>
              <w:t>难、胸闷、结膜充血、恶心、呕吐、腹泻、腹痛、皮疹</w:t>
            </w:r>
            <w:r>
              <w:rPr>
                <w:rFonts w:hint="eastAsia" w:ascii="仿宋_GB2312" w:hAnsi="仿宋_GB2312" w:eastAsia="仿宋_GB2312" w:cs="仿宋_GB2312"/>
                <w:spacing w:val="-8"/>
                <w:w w:val="95"/>
                <w:sz w:val="28"/>
                <w:szCs w:val="28"/>
              </w:rPr>
              <w:t>黄疸、嗅觉或味觉衰退等之一症状出现，且未排除其他传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染病感染者。</w:t>
            </w:r>
          </w:p>
        </w:tc>
        <w:tc>
          <w:tcPr>
            <w:tcW w:w="9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55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80" w:lineRule="exact"/>
              <w:ind w:left="-212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w w:val="99"/>
                <w:sz w:val="28"/>
              </w:rPr>
              <w:t>、</w:t>
            </w:r>
          </w:p>
        </w:tc>
        <w:tc>
          <w:tcPr>
            <w:tcW w:w="868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6"/>
              </w:rPr>
            </w:pPr>
          </w:p>
        </w:tc>
        <w:tc>
          <w:tcPr>
            <w:tcW w:w="66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6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注：1.本表格请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考生</w:t>
      </w:r>
      <w:r>
        <w:rPr>
          <w:rFonts w:hint="eastAsia" w:ascii="仿宋_GB2312" w:hAnsi="仿宋_GB2312" w:eastAsia="仿宋_GB2312" w:cs="仿宋_GB2312"/>
          <w:sz w:val="24"/>
          <w:szCs w:val="24"/>
        </w:rPr>
        <w:t>本人于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试</w:t>
      </w:r>
      <w:r>
        <w:rPr>
          <w:rFonts w:hint="eastAsia" w:ascii="仿宋_GB2312" w:hAnsi="仿宋_GB2312" w:eastAsia="仿宋_GB2312" w:cs="仿宋_GB2312"/>
          <w:sz w:val="24"/>
          <w:szCs w:val="24"/>
        </w:rPr>
        <w:t>前一天填写，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并交平乐镇人民政府党群办公室。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2.请在表格空白处打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“√”或“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×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”，</w:t>
      </w:r>
      <w:r>
        <w:rPr>
          <w:rFonts w:hint="eastAsia" w:ascii="仿宋_GB2312" w:hAnsi="仿宋_GB2312" w:eastAsia="仿宋_GB2312" w:cs="仿宋_GB2312"/>
          <w:sz w:val="24"/>
          <w:szCs w:val="24"/>
        </w:rPr>
        <w:t>如有相关情况说明，请在备注中详细注明。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3.按照填报当天全国疫情中高风险地市目录调整情况填报。</w:t>
      </w:r>
    </w:p>
    <w:p>
      <w:pPr>
        <w:jc w:val="center"/>
      </w:pPr>
      <w:r>
        <w:rPr>
          <w:rFonts w:hint="eastAsia" w:ascii="仿宋_GB2312" w:hAnsi="仿宋_GB2312" w:eastAsia="仿宋_GB2312" w:cs="仿宋_GB2312"/>
          <w:sz w:val="28"/>
          <w:szCs w:val="28"/>
        </w:rPr>
        <w:t>填表人：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填表日期：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年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>日</w:t>
      </w:r>
    </w:p>
    <w:p>
      <w:pPr>
        <w:pStyle w:val="2"/>
        <w:rPr>
          <w:rFonts w:hint="default"/>
          <w:lang w:val="en-US" w:eastAsia="zh-CN"/>
        </w:rPr>
      </w:pPr>
    </w:p>
    <w:p/>
    <w:sectPr>
      <w:footerReference r:id="rId3" w:type="default"/>
      <w:pgSz w:w="11906" w:h="16838"/>
      <w:pgMar w:top="1134" w:right="1134" w:bottom="1134" w:left="1134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5466715</wp:posOffset>
              </wp:positionH>
              <wp:positionV relativeFrom="paragraph">
                <wp:posOffset>161925</wp:posOffset>
              </wp:positionV>
              <wp:extent cx="653415" cy="34417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3415" cy="3441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30.45pt;margin-top:12.75pt;height:27.1pt;width:51.45pt;mso-position-horizontal-relative:margin;z-index:251659264;mso-width-relative:page;mso-height-relative:page;" filled="f" stroked="f" coordsize="21600,21600" o:gfxdata="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LpMRw3ZAAAACQEA&#10;AA8AAAAAAAAAAQAgAAAAIgAAAGRycy9kb3ducmV2LnhtbFBLAQIUABQAAAAIAIdO4kCDtmBRGQIA&#10;ABMEAAAOAAAAAAAAAAEAIAAAACgBAABkcnMvZTJvRG9jLnhtbFBLBQYAAAAABgAGAFkBAACzBQAA&#10;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074962"/>
    <w:rsid w:val="03074962"/>
    <w:rsid w:val="396E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adjustRightInd w:val="0"/>
      <w:snapToGrid w:val="0"/>
      <w:spacing w:after="120" w:afterLines="0"/>
      <w:jc w:val="left"/>
    </w:pPr>
    <w:rPr>
      <w:rFonts w:ascii="Tahoma" w:hAnsi="Tahoma" w:eastAsia="方正仿宋简体"/>
      <w:spacing w:val="-20"/>
      <w:kern w:val="0"/>
      <w:sz w:val="28"/>
      <w:szCs w:val="2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customStyle="1" w:styleId="6">
    <w:name w:val="Table Paragraph"/>
    <w:basedOn w:val="1"/>
    <w:qFormat/>
    <w:uiPriority w:val="1"/>
    <w:rPr>
      <w:rFonts w:ascii="方正仿宋简体" w:hAnsi="方正仿宋简体" w:eastAsia="方正仿宋简体" w:cs="方正仿宋简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2021-12-09T07:48:00Z</dcterms:created>
  <dc:creator>芒果超甜</dc:creator>
  <cp:lastModifiedBy>Administrator</cp:lastModifiedBy>
  <dcterms:modified xsi:type="dcterms:W3CDTF">2021-12-10T06:52:45Z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